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DD567" w14:textId="77777777" w:rsidR="00956A3B" w:rsidRPr="004F0E5E" w:rsidRDefault="00956A3B" w:rsidP="00956A3B">
      <w:pPr>
        <w:tabs>
          <w:tab w:val="left" w:pos="8672"/>
        </w:tabs>
        <w:spacing w:before="71"/>
        <w:ind w:right="74"/>
        <w:jc w:val="center"/>
        <w:rPr>
          <w:rFonts w:cstheme="minorHAnsi"/>
          <w:b/>
        </w:rPr>
      </w:pPr>
      <w:bookmarkStart w:id="0" w:name="_Hlk115789817"/>
      <w:r w:rsidRPr="004F0E5E">
        <w:rPr>
          <w:rFonts w:cstheme="minorHAnsi"/>
        </w:rPr>
        <w:t>ARTICLE XX</w:t>
      </w:r>
      <w:r w:rsidRPr="004F0E5E">
        <w:rPr>
          <w:rFonts w:cstheme="minorHAnsi"/>
        </w:rPr>
        <w:tab/>
      </w:r>
      <w:r w:rsidRPr="004F0E5E">
        <w:rPr>
          <w:rFonts w:cstheme="minorHAnsi"/>
          <w:b/>
        </w:rPr>
        <w:t xml:space="preserve">N° </w:t>
      </w:r>
    </w:p>
    <w:p w14:paraId="22308D30" w14:textId="77777777" w:rsidR="00956A3B" w:rsidRPr="004F0E5E" w:rsidRDefault="00956A3B" w:rsidP="00956A3B">
      <w:pPr>
        <w:pStyle w:val="Titre"/>
        <w:rPr>
          <w:rFonts w:asciiTheme="minorHAnsi" w:hAnsiTheme="minorHAnsi" w:cstheme="minorHAnsi"/>
          <w:sz w:val="22"/>
          <w:szCs w:val="22"/>
        </w:rPr>
      </w:pPr>
      <w:r w:rsidRPr="004F0E5E">
        <w:rPr>
          <w:rFonts w:asciiTheme="minorHAnsi" w:hAnsiTheme="minorHAnsi" w:cstheme="minorHAnsi"/>
          <w:sz w:val="22"/>
          <w:szCs w:val="22"/>
        </w:rPr>
        <w:t>ASSEMBLÉE NATIONALE</w:t>
      </w:r>
    </w:p>
    <w:p w14:paraId="3BA529D4" w14:textId="77777777" w:rsidR="00956A3B" w:rsidRPr="004F0E5E" w:rsidRDefault="00956A3B" w:rsidP="00956A3B">
      <w:pPr>
        <w:pStyle w:val="Corpsdetexte"/>
        <w:ind w:left="665" w:right="665"/>
        <w:jc w:val="center"/>
        <w:rPr>
          <w:rFonts w:asciiTheme="minorHAnsi" w:hAnsiTheme="minorHAnsi" w:cstheme="minorHAnsi"/>
          <w:sz w:val="22"/>
          <w:szCs w:val="22"/>
        </w:rPr>
      </w:pPr>
    </w:p>
    <w:p w14:paraId="4A42771E" w14:textId="700CD04D" w:rsidR="00956A3B" w:rsidRPr="004F0E5E" w:rsidRDefault="00956A3B" w:rsidP="00956A3B">
      <w:pPr>
        <w:pStyle w:val="Corpsdetexte"/>
        <w:spacing w:before="11"/>
        <w:rPr>
          <w:rFonts w:asciiTheme="minorHAnsi" w:hAnsiTheme="minorHAnsi" w:cstheme="minorHAnsi"/>
          <w:sz w:val="22"/>
          <w:szCs w:val="22"/>
        </w:rPr>
      </w:pPr>
      <w:r w:rsidRPr="004F0E5E">
        <w:rPr>
          <w:rFonts w:asciiTheme="minorHAnsi" w:hAnsiTheme="minorHAnsi" w:cstheme="minorHAnsi"/>
          <w:noProof/>
          <w:sz w:val="22"/>
          <w:szCs w:val="22"/>
        </w:rPr>
        <mc:AlternateContent>
          <mc:Choice Requires="wps">
            <w:drawing>
              <wp:anchor distT="0" distB="0" distL="0" distR="0" simplePos="0" relativeHeight="251659264" behindDoc="1" locked="0" layoutInCell="1" allowOverlap="1" wp14:anchorId="2CF2E046" wp14:editId="5D2F062D">
                <wp:simplePos x="0" y="0"/>
                <wp:positionH relativeFrom="page">
                  <wp:posOffset>720090</wp:posOffset>
                </wp:positionH>
                <wp:positionV relativeFrom="paragraph">
                  <wp:posOffset>156210</wp:posOffset>
                </wp:positionV>
                <wp:extent cx="6120130" cy="19050"/>
                <wp:effectExtent l="0" t="0" r="0" b="0"/>
                <wp:wrapTopAndBottom/>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1905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A6B351" id="Rectangle 8" o:spid="_x0000_s1026" style="position:absolute;margin-left:56.7pt;margin-top:12.3pt;width:481.9pt;height:1.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" fillcolor="gray" stroked="f">
                <w10:wrap type="topAndBottom" anchorx="page"/>
              </v:rect>
            </w:pict>
          </mc:Fallback>
        </mc:AlternateContent>
      </w:r>
    </w:p>
    <w:p w14:paraId="72E09037" w14:textId="77777777" w:rsidR="00956A3B" w:rsidRPr="004F0E5E" w:rsidRDefault="00956A3B" w:rsidP="00956A3B">
      <w:pPr>
        <w:pStyle w:val="Corpsdetexte"/>
        <w:spacing w:before="8"/>
        <w:rPr>
          <w:rFonts w:asciiTheme="minorHAnsi" w:hAnsiTheme="minorHAnsi" w:cstheme="minorHAnsi"/>
          <w:sz w:val="22"/>
          <w:szCs w:val="22"/>
        </w:rPr>
      </w:pPr>
    </w:p>
    <w:p w14:paraId="2C097169" w14:textId="77777777" w:rsidR="00956A3B" w:rsidRPr="004F0E5E" w:rsidRDefault="00956A3B" w:rsidP="00956A3B">
      <w:pPr>
        <w:pStyle w:val="Corpsdetexte"/>
        <w:spacing w:before="6"/>
        <w:jc w:val="center"/>
        <w:rPr>
          <w:rFonts w:asciiTheme="minorHAnsi" w:hAnsiTheme="minorHAnsi" w:cstheme="minorHAnsi"/>
          <w:sz w:val="22"/>
          <w:szCs w:val="22"/>
        </w:rPr>
      </w:pPr>
      <w:r w:rsidRPr="004F0E5E">
        <w:rPr>
          <w:rFonts w:asciiTheme="minorHAnsi" w:hAnsiTheme="minorHAnsi" w:cstheme="minorHAnsi"/>
          <w:sz w:val="22"/>
          <w:szCs w:val="22"/>
        </w:rPr>
        <w:t>Projet de loi de finances pour 2023</w:t>
      </w:r>
    </w:p>
    <w:p w14:paraId="0150A47C" w14:textId="77777777" w:rsidR="00956A3B" w:rsidRPr="004F0E5E" w:rsidRDefault="00956A3B" w:rsidP="00956A3B">
      <w:pPr>
        <w:pStyle w:val="Corpsdetexte"/>
        <w:spacing w:before="6"/>
        <w:jc w:val="center"/>
        <w:rPr>
          <w:rFonts w:asciiTheme="minorHAnsi" w:hAnsiTheme="minorHAnsi" w:cstheme="minorHAnsi"/>
          <w:sz w:val="22"/>
          <w:szCs w:val="22"/>
        </w:rPr>
      </w:pPr>
    </w:p>
    <w:p w14:paraId="0DC2ECA3" w14:textId="77777777" w:rsidR="00956A3B" w:rsidRPr="004F0E5E" w:rsidRDefault="00956A3B" w:rsidP="00956A3B">
      <w:pPr>
        <w:pStyle w:val="Corpsdetexte"/>
        <w:spacing w:before="6"/>
        <w:jc w:val="center"/>
        <w:rPr>
          <w:rFonts w:asciiTheme="minorHAnsi" w:hAnsiTheme="minorHAnsi" w:cstheme="minorHAnsi"/>
          <w:b/>
          <w:sz w:val="22"/>
          <w:szCs w:val="22"/>
        </w:rPr>
      </w:pPr>
      <w:r w:rsidRPr="004F0E5E">
        <w:rPr>
          <w:rFonts w:asciiTheme="minorHAnsi" w:hAnsiTheme="minorHAnsi" w:cstheme="minorHAnsi"/>
          <w:b/>
          <w:sz w:val="22"/>
          <w:szCs w:val="22"/>
        </w:rPr>
        <w:t>AMENDEMENT N o</w:t>
      </w:r>
      <w:r w:rsidRPr="004F0E5E">
        <w:rPr>
          <w:rFonts w:asciiTheme="minorHAnsi" w:hAnsiTheme="minorHAnsi" w:cstheme="minorHAnsi"/>
          <w:b/>
          <w:sz w:val="22"/>
          <w:szCs w:val="22"/>
        </w:rPr>
        <w:tab/>
      </w:r>
    </w:p>
    <w:p w14:paraId="09FCD68D" w14:textId="77777777" w:rsidR="00956A3B" w:rsidRPr="004F0E5E" w:rsidRDefault="00956A3B" w:rsidP="00956A3B">
      <w:pPr>
        <w:pStyle w:val="Corpsdetexte"/>
        <w:spacing w:before="6"/>
        <w:jc w:val="center"/>
        <w:rPr>
          <w:rFonts w:asciiTheme="minorHAnsi" w:hAnsiTheme="minorHAnsi" w:cstheme="minorHAnsi"/>
          <w:b/>
          <w:sz w:val="22"/>
          <w:szCs w:val="22"/>
        </w:rPr>
      </w:pPr>
    </w:p>
    <w:p w14:paraId="43BF9A14" w14:textId="77777777" w:rsidR="00956A3B" w:rsidRPr="004F0E5E" w:rsidRDefault="00956A3B" w:rsidP="00956A3B">
      <w:pPr>
        <w:pStyle w:val="Corpsdetexte"/>
        <w:spacing w:before="90"/>
        <w:ind w:left="665" w:right="665"/>
        <w:jc w:val="center"/>
        <w:rPr>
          <w:rFonts w:asciiTheme="minorHAnsi" w:hAnsiTheme="minorHAnsi" w:cstheme="minorHAnsi"/>
          <w:sz w:val="22"/>
          <w:szCs w:val="22"/>
        </w:rPr>
      </w:pPr>
      <w:proofErr w:type="gramStart"/>
      <w:r w:rsidRPr="004F0E5E">
        <w:rPr>
          <w:rFonts w:asciiTheme="minorHAnsi" w:hAnsiTheme="minorHAnsi" w:cstheme="minorHAnsi"/>
          <w:sz w:val="22"/>
          <w:szCs w:val="22"/>
        </w:rPr>
        <w:t>présenté</w:t>
      </w:r>
      <w:proofErr w:type="gramEnd"/>
      <w:r w:rsidRPr="004F0E5E">
        <w:rPr>
          <w:rFonts w:asciiTheme="minorHAnsi" w:hAnsiTheme="minorHAnsi" w:cstheme="minorHAnsi"/>
          <w:sz w:val="22"/>
          <w:szCs w:val="22"/>
        </w:rPr>
        <w:t xml:space="preserve"> par</w:t>
      </w:r>
    </w:p>
    <w:p w14:paraId="2886D1F6" w14:textId="77777777" w:rsidR="00956A3B" w:rsidRPr="004F0E5E" w:rsidRDefault="00956A3B" w:rsidP="00956A3B">
      <w:pPr>
        <w:pStyle w:val="Corpsdetexte"/>
        <w:ind w:left="3740"/>
        <w:jc w:val="both"/>
        <w:rPr>
          <w:rFonts w:asciiTheme="minorHAnsi" w:hAnsiTheme="minorHAnsi" w:cstheme="minorHAnsi"/>
          <w:sz w:val="22"/>
          <w:szCs w:val="22"/>
        </w:rPr>
      </w:pPr>
    </w:p>
    <w:p w14:paraId="5731A0AF" w14:textId="68E51CD3" w:rsidR="00956A3B" w:rsidRPr="004F0E5E" w:rsidRDefault="00956A3B" w:rsidP="00956A3B">
      <w:pPr>
        <w:pStyle w:val="Corpsdetexte"/>
        <w:spacing w:before="10"/>
        <w:rPr>
          <w:rFonts w:asciiTheme="minorHAnsi" w:hAnsiTheme="minorHAnsi" w:cstheme="minorHAnsi"/>
          <w:sz w:val="22"/>
          <w:szCs w:val="22"/>
        </w:rPr>
      </w:pPr>
      <w:r w:rsidRPr="004F0E5E">
        <w:rPr>
          <w:rFonts w:asciiTheme="minorHAnsi" w:hAnsiTheme="minorHAnsi" w:cstheme="minorHAnsi"/>
          <w:noProof/>
          <w:sz w:val="22"/>
          <w:szCs w:val="22"/>
        </w:rPr>
        <mc:AlternateContent>
          <mc:Choice Requires="wps">
            <w:drawing>
              <wp:anchor distT="0" distB="0" distL="0" distR="0" simplePos="0" relativeHeight="251660288" behindDoc="1" locked="0" layoutInCell="1" allowOverlap="1" wp14:anchorId="7C929A7E" wp14:editId="51279D78">
                <wp:simplePos x="0" y="0"/>
                <wp:positionH relativeFrom="page">
                  <wp:posOffset>3526155</wp:posOffset>
                </wp:positionH>
                <wp:positionV relativeFrom="paragraph">
                  <wp:posOffset>117475</wp:posOffset>
                </wp:positionV>
                <wp:extent cx="508000" cy="1270"/>
                <wp:effectExtent l="0" t="0" r="0" b="0"/>
                <wp:wrapTopAndBottom/>
                <wp:docPr id="7" name="Forme libre : form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0" cy="1270"/>
                        </a:xfrm>
                        <a:custGeom>
                          <a:avLst/>
                          <a:gdLst>
                            <a:gd name="T0" fmla="+- 0 5553 5553"/>
                            <a:gd name="T1" fmla="*/ T0 w 800"/>
                            <a:gd name="T2" fmla="+- 0 6353 5553"/>
                            <a:gd name="T3" fmla="*/ T2 w 800"/>
                          </a:gdLst>
                          <a:ahLst/>
                          <a:cxnLst>
                            <a:cxn ang="0">
                              <a:pos x="T1" y="0"/>
                            </a:cxn>
                            <a:cxn ang="0">
                              <a:pos x="T3" y="0"/>
                            </a:cxn>
                          </a:cxnLst>
                          <a:rect l="0" t="0" r="r" b="b"/>
                          <a:pathLst>
                            <a:path w="800">
                              <a:moveTo>
                                <a:pt x="0" y="0"/>
                              </a:moveTo>
                              <a:lnTo>
                                <a:pt x="800" y="0"/>
                              </a:lnTo>
                            </a:path>
                          </a:pathLst>
                        </a:custGeom>
                        <a:noFill/>
                        <a:ln w="11278">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05857D" id="Forme libre : forme 7" o:spid="_x0000_s1026" style="position:absolute;margin-left:277.65pt;margin-top:9.25pt;width:40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" path="m,l800,e" filled="f" strokeweight=".31328mm">
                <v:stroke dashstyle="dash"/>
                <v:path arrowok="t" o:connecttype="custom" o:connectlocs="0,0;508000,0" o:connectangles="0,0"/>
                <w10:wrap type="topAndBottom" anchorx="page"/>
              </v:shape>
            </w:pict>
          </mc:Fallback>
        </mc:AlternateContent>
      </w:r>
    </w:p>
    <w:p w14:paraId="0E3A2D36" w14:textId="77777777" w:rsidR="00956A3B" w:rsidRPr="004F0E5E" w:rsidRDefault="00956A3B" w:rsidP="00956A3B">
      <w:pPr>
        <w:pStyle w:val="Corpsdetexte"/>
        <w:spacing w:before="3"/>
        <w:rPr>
          <w:rFonts w:asciiTheme="minorHAnsi" w:hAnsiTheme="minorHAnsi" w:cstheme="minorHAnsi"/>
          <w:b/>
          <w:bCs/>
          <w:sz w:val="22"/>
          <w:szCs w:val="22"/>
        </w:rPr>
      </w:pPr>
    </w:p>
    <w:p w14:paraId="06B74C68" w14:textId="77777777" w:rsidR="00956A3B" w:rsidRPr="004F0E5E" w:rsidRDefault="00956A3B" w:rsidP="00956A3B">
      <w:pPr>
        <w:pStyle w:val="Corpsdetexte"/>
        <w:spacing w:before="3"/>
        <w:rPr>
          <w:rFonts w:asciiTheme="minorHAnsi" w:hAnsiTheme="minorHAnsi" w:cstheme="minorHAnsi"/>
          <w:b/>
          <w:bCs/>
          <w:sz w:val="22"/>
          <w:szCs w:val="22"/>
        </w:rPr>
      </w:pPr>
    </w:p>
    <w:p w14:paraId="2307898D" w14:textId="7A9D7C52" w:rsidR="00956A3B" w:rsidRPr="004F0E5E" w:rsidRDefault="00956A3B" w:rsidP="00956A3B">
      <w:pPr>
        <w:pStyle w:val="Corpsdetexte"/>
        <w:spacing w:before="3"/>
        <w:rPr>
          <w:rFonts w:asciiTheme="minorHAnsi" w:hAnsiTheme="minorHAnsi" w:cstheme="minorHAnsi"/>
          <w:b/>
          <w:bCs/>
          <w:sz w:val="22"/>
          <w:szCs w:val="22"/>
        </w:rPr>
      </w:pPr>
      <w:r w:rsidRPr="004F0E5E">
        <w:rPr>
          <w:rFonts w:asciiTheme="minorHAnsi" w:hAnsiTheme="minorHAnsi" w:cstheme="minorHAnsi"/>
          <w:b/>
          <w:bCs/>
          <w:sz w:val="22"/>
          <w:szCs w:val="22"/>
        </w:rPr>
        <w:t xml:space="preserve">APRÈS L'ARTICLE 10, </w:t>
      </w:r>
    </w:p>
    <w:p w14:paraId="73B34F18" w14:textId="77777777" w:rsidR="00956A3B" w:rsidRPr="004F0E5E" w:rsidRDefault="00956A3B" w:rsidP="00956A3B">
      <w:pPr>
        <w:pStyle w:val="Corpsdetexte"/>
        <w:spacing w:before="3"/>
        <w:rPr>
          <w:rFonts w:asciiTheme="minorHAnsi" w:hAnsiTheme="minorHAnsi" w:cstheme="minorHAnsi"/>
          <w:b/>
          <w:sz w:val="22"/>
          <w:szCs w:val="22"/>
        </w:rPr>
      </w:pPr>
    </w:p>
    <w:p w14:paraId="0FBDF14F" w14:textId="61B97698" w:rsidR="00956A3B" w:rsidRPr="004F0E5E" w:rsidRDefault="00956A3B" w:rsidP="00956A3B">
      <w:pPr>
        <w:jc w:val="both"/>
        <w:rPr>
          <w:rFonts w:cstheme="minorHAnsi"/>
        </w:rPr>
      </w:pPr>
      <w:r w:rsidRPr="004F0E5E">
        <w:rPr>
          <w:rFonts w:cstheme="minorHAnsi"/>
        </w:rPr>
        <w:t>Insérer un article additionnel ainsi rédigé :</w:t>
      </w:r>
    </w:p>
    <w:p w14:paraId="04DF0E30" w14:textId="27CAD05E" w:rsidR="00956A3B" w:rsidRPr="004F0E5E" w:rsidRDefault="00956A3B" w:rsidP="00956A3B">
      <w:pPr>
        <w:jc w:val="both"/>
        <w:rPr>
          <w:rFonts w:cstheme="minorHAnsi"/>
        </w:rPr>
      </w:pPr>
      <w:r w:rsidRPr="004F0E5E">
        <w:rPr>
          <w:rFonts w:cstheme="minorHAnsi"/>
        </w:rPr>
        <w:t xml:space="preserve">La variation annuelle de </w:t>
      </w:r>
      <w:r w:rsidR="004F0E5E" w:rsidRPr="004F0E5E">
        <w:rPr>
          <w:rFonts w:cstheme="minorHAnsi"/>
        </w:rPr>
        <w:t>l’</w:t>
      </w:r>
      <w:r w:rsidR="004F0E5E" w:rsidRPr="004F0E5E">
        <w:rPr>
          <w:rFonts w:cstheme="minorHAnsi"/>
          <w:spacing w:val="6"/>
          <w:shd w:val="clear" w:color="auto" w:fill="FFFFFF"/>
        </w:rPr>
        <w:t>indice</w:t>
      </w:r>
      <w:r w:rsidR="00BF261A" w:rsidRPr="004F0E5E">
        <w:rPr>
          <w:rFonts w:cstheme="minorHAnsi"/>
        </w:rPr>
        <w:t xml:space="preserve"> du coût </w:t>
      </w:r>
      <w:proofErr w:type="gramStart"/>
      <w:r w:rsidR="00BF261A" w:rsidRPr="004F0E5E">
        <w:rPr>
          <w:rFonts w:cstheme="minorHAnsi"/>
        </w:rPr>
        <w:t xml:space="preserve">de la construction </w:t>
      </w:r>
      <w:r w:rsidRPr="004F0E5E">
        <w:rPr>
          <w:rFonts w:cstheme="minorHAnsi"/>
        </w:rPr>
        <w:t>mentionné</w:t>
      </w:r>
      <w:proofErr w:type="gramEnd"/>
      <w:r w:rsidRPr="004F0E5E">
        <w:rPr>
          <w:rFonts w:cstheme="minorHAnsi"/>
        </w:rPr>
        <w:t xml:space="preserve"> au </w:t>
      </w:r>
      <w:r w:rsidR="004F0E5E" w:rsidRPr="004F0E5E">
        <w:rPr>
          <w:rFonts w:cstheme="minorHAnsi"/>
        </w:rPr>
        <w:t>premier</w:t>
      </w:r>
      <w:r w:rsidRPr="004F0E5E">
        <w:rPr>
          <w:rFonts w:cstheme="minorHAnsi"/>
        </w:rPr>
        <w:t xml:space="preserve"> alinéa de </w:t>
      </w:r>
      <w:hyperlink r:id="rId4" w:history="1">
        <w:r w:rsidRPr="004F0E5E">
          <w:rPr>
            <w:rStyle w:val="Lienhypertexte"/>
            <w:rFonts w:cstheme="minorHAnsi"/>
            <w:color w:val="auto"/>
          </w:rPr>
          <w:t>l’article L. 112-2 du code monétaire et financier</w:t>
        </w:r>
      </w:hyperlink>
      <w:r w:rsidRPr="004F0E5E">
        <w:rPr>
          <w:rFonts w:cstheme="minorHAnsi"/>
        </w:rPr>
        <w:t xml:space="preserve"> prise en compte pour la révision du loyer applicable aux petites et moyennes entreprises ne peut excéder 3,5 % pour </w:t>
      </w:r>
      <w:r w:rsidR="00760C70">
        <w:rPr>
          <w:rFonts w:cstheme="minorHAnsi"/>
        </w:rPr>
        <w:t>l’année 2023, soit du premier au quatrième trimestre 2023 inclus.</w:t>
      </w:r>
    </w:p>
    <w:p w14:paraId="57AB5553" w14:textId="5A60E84D" w:rsidR="00956A3B" w:rsidRPr="004F0E5E" w:rsidRDefault="00956A3B" w:rsidP="00956A3B">
      <w:pPr>
        <w:jc w:val="both"/>
        <w:rPr>
          <w:rFonts w:cstheme="minorHAnsi"/>
        </w:rPr>
      </w:pPr>
      <w:r w:rsidRPr="004F0E5E">
        <w:rPr>
          <w:rFonts w:cstheme="minorHAnsi"/>
        </w:rPr>
        <w:t>Les petites et moyennes entreprises mentionnées au premier alinéa répondent à la définition de l’annexe I au règlement (UE) n° 651/2014 de la Commission du 17 juin 2014 déclarant certaines catégories d’aide compatibles avec le marché intérieur en application des articles 107 et 108 du traité.</w:t>
      </w:r>
    </w:p>
    <w:p w14:paraId="62F53F38" w14:textId="3B0E44D2" w:rsidR="00956A3B" w:rsidRPr="004F0E5E" w:rsidRDefault="00956A3B" w:rsidP="00956A3B">
      <w:pPr>
        <w:jc w:val="both"/>
        <w:rPr>
          <w:rFonts w:cstheme="minorHAnsi"/>
        </w:rPr>
      </w:pPr>
      <w:r w:rsidRPr="004F0E5E">
        <w:rPr>
          <w:rFonts w:cstheme="minorHAnsi"/>
        </w:rPr>
        <w:t xml:space="preserve">Le plafonnement de la variation annuelle est définitivement acquis et la majoration ou la diminution de loyer consécutive à une révision postérieure ne peut prendre en compte la part de variation de </w:t>
      </w:r>
      <w:r w:rsidR="004F0E5E" w:rsidRPr="004F0E5E">
        <w:rPr>
          <w:rFonts w:cstheme="minorHAnsi"/>
        </w:rPr>
        <w:t xml:space="preserve">l’indice du coût de la construction </w:t>
      </w:r>
      <w:r w:rsidRPr="004F0E5E">
        <w:rPr>
          <w:rFonts w:cstheme="minorHAnsi"/>
        </w:rPr>
        <w:t>supérieure à 3,5 % sur cette même période.</w:t>
      </w:r>
    </w:p>
    <w:p w14:paraId="100BB8F1" w14:textId="40FAD393" w:rsidR="00E05300" w:rsidRPr="004F0E5E" w:rsidRDefault="00E05300" w:rsidP="00956A3B">
      <w:pPr>
        <w:jc w:val="both"/>
        <w:rPr>
          <w:rFonts w:cstheme="minorHAnsi"/>
        </w:rPr>
      </w:pPr>
    </w:p>
    <w:p w14:paraId="7193852B" w14:textId="4368A97F" w:rsidR="00956A3B" w:rsidRPr="004F0E5E" w:rsidRDefault="00956A3B" w:rsidP="00956A3B">
      <w:pPr>
        <w:jc w:val="both"/>
        <w:rPr>
          <w:rFonts w:cstheme="minorHAnsi"/>
        </w:rPr>
      </w:pPr>
    </w:p>
    <w:p w14:paraId="213B561D" w14:textId="76CF844A" w:rsidR="00956A3B" w:rsidRPr="004F0E5E" w:rsidRDefault="00956A3B" w:rsidP="00CB2A12">
      <w:pPr>
        <w:jc w:val="center"/>
        <w:rPr>
          <w:rFonts w:cstheme="minorHAnsi"/>
        </w:rPr>
      </w:pPr>
      <w:r w:rsidRPr="004F0E5E">
        <w:rPr>
          <w:rFonts w:cstheme="minorHAnsi"/>
        </w:rPr>
        <w:t>Exposé des motifs</w:t>
      </w:r>
    </w:p>
    <w:p w14:paraId="62C482C9" w14:textId="1945949D" w:rsidR="00956A3B" w:rsidRPr="004F0E5E" w:rsidRDefault="00D35A69" w:rsidP="00D35A69">
      <w:pPr>
        <w:jc w:val="both"/>
        <w:rPr>
          <w:rFonts w:cstheme="minorHAnsi"/>
        </w:rPr>
      </w:pPr>
      <w:r w:rsidRPr="004F0E5E">
        <w:rPr>
          <w:rFonts w:cstheme="minorHAnsi"/>
        </w:rPr>
        <w:t>Pour compléter le dispositif mis en place par le Gouvernement dans le cadre d</w:t>
      </w:r>
      <w:r w:rsidR="00BD1058" w:rsidRPr="004F0E5E">
        <w:rPr>
          <w:rFonts w:cstheme="minorHAnsi"/>
        </w:rPr>
        <w:t>e la loi</w:t>
      </w:r>
      <w:r w:rsidRPr="004F0E5E">
        <w:rPr>
          <w:rFonts w:cstheme="minorHAnsi"/>
        </w:rPr>
        <w:t xml:space="preserve"> portant mesures d’urgence pour la protection du pouvoir d’achat, il convient de plafonner d’autres indicateurs</w:t>
      </w:r>
      <w:r w:rsidR="00BD1058" w:rsidRPr="004F0E5E">
        <w:rPr>
          <w:rFonts w:cstheme="minorHAnsi"/>
        </w:rPr>
        <w:t xml:space="preserve"> largement utilisés comme indices de référence de révision des loyers</w:t>
      </w:r>
      <w:r w:rsidRPr="004F0E5E">
        <w:rPr>
          <w:rFonts w:cstheme="minorHAnsi"/>
        </w:rPr>
        <w:t xml:space="preserve"> afin de venir en aide aux TPME. </w:t>
      </w:r>
      <w:r w:rsidR="00956A3B" w:rsidRPr="004F0E5E">
        <w:rPr>
          <w:rFonts w:cstheme="minorHAnsi"/>
        </w:rPr>
        <w:t xml:space="preserve">Cet amendement a pour objectif de plafonner à 3,5 % la variation annuelle </w:t>
      </w:r>
      <w:r w:rsidR="00BD1058" w:rsidRPr="004F0E5E">
        <w:rPr>
          <w:rFonts w:cstheme="minorHAnsi"/>
        </w:rPr>
        <w:t xml:space="preserve">de </w:t>
      </w:r>
      <w:r w:rsidR="00956A3B" w:rsidRPr="004F0E5E">
        <w:rPr>
          <w:rFonts w:cstheme="minorHAnsi"/>
        </w:rPr>
        <w:t>l’</w:t>
      </w:r>
      <w:r w:rsidR="004F0E5E" w:rsidRPr="004F0E5E">
        <w:rPr>
          <w:rFonts w:cstheme="minorHAnsi"/>
        </w:rPr>
        <w:t xml:space="preserve"> indice du coût de la construction </w:t>
      </w:r>
      <w:r w:rsidR="00956A3B" w:rsidRPr="004F0E5E">
        <w:rPr>
          <w:rFonts w:cstheme="minorHAnsi"/>
        </w:rPr>
        <w:t xml:space="preserve">pour les </w:t>
      </w:r>
      <w:r w:rsidR="00CB2A12" w:rsidRPr="004F0E5E">
        <w:rPr>
          <w:rFonts w:cstheme="minorHAnsi"/>
        </w:rPr>
        <w:t>T</w:t>
      </w:r>
      <w:r w:rsidR="00956A3B" w:rsidRPr="004F0E5E">
        <w:rPr>
          <w:rFonts w:cstheme="minorHAnsi"/>
        </w:rPr>
        <w:t>PME, à l’instar du dispositif prévu pour les locaux d’habitation des particuliers.</w:t>
      </w:r>
    </w:p>
    <w:p w14:paraId="7FCAA810" w14:textId="1EF0F666" w:rsidR="004F0E5E" w:rsidRDefault="004F0E5E" w:rsidP="00956A3B">
      <w:pPr>
        <w:jc w:val="both"/>
        <w:rPr>
          <w:rFonts w:cstheme="minorHAnsi"/>
        </w:rPr>
      </w:pPr>
      <w:r>
        <w:rPr>
          <w:rFonts w:cstheme="minorHAnsi"/>
        </w:rPr>
        <w:t>L’</w:t>
      </w:r>
      <w:r w:rsidRPr="004F0E5E">
        <w:rPr>
          <w:rFonts w:cstheme="minorHAnsi"/>
        </w:rPr>
        <w:t>indice du coût de la construction</w:t>
      </w:r>
      <w:r w:rsidR="00956A3B" w:rsidRPr="004F0E5E">
        <w:rPr>
          <w:rFonts w:cstheme="minorHAnsi"/>
        </w:rPr>
        <w:t xml:space="preserve"> sert à plafonner les révisions de loyers commerciaux ou à mettre en œuvre une indexation annuelle automatique des loyers </w:t>
      </w:r>
      <w:r w:rsidRPr="004F0E5E">
        <w:rPr>
          <w:rFonts w:cstheme="minorHAnsi"/>
        </w:rPr>
        <w:t>pour des activités commerciales ou artisanales</w:t>
      </w:r>
      <w:r>
        <w:rPr>
          <w:rFonts w:cstheme="minorHAnsi"/>
        </w:rPr>
        <w:t>.</w:t>
      </w:r>
      <w:r w:rsidR="00F86484">
        <w:rPr>
          <w:rFonts w:cstheme="minorHAnsi"/>
        </w:rPr>
        <w:t xml:space="preserve"> Il s’agissait de l’indice de référence des baux commerciaux et artisanaux, avant la mise en place de l’ILC en novembre 2014.</w:t>
      </w:r>
    </w:p>
    <w:p w14:paraId="6DB38578" w14:textId="15CD3FB9" w:rsidR="00956A3B" w:rsidRDefault="00956A3B" w:rsidP="00956A3B">
      <w:pPr>
        <w:jc w:val="both"/>
        <w:rPr>
          <w:rFonts w:cstheme="minorHAnsi"/>
        </w:rPr>
      </w:pPr>
      <w:r w:rsidRPr="004F0E5E">
        <w:rPr>
          <w:rFonts w:cstheme="minorHAnsi"/>
        </w:rPr>
        <w:lastRenderedPageBreak/>
        <w:t xml:space="preserve">Le contexte inflationniste pourrait conduire à des niveaux de variations annuelles de l’inflation nettement plus élevés que 3,5 %. Afin de protéger les </w:t>
      </w:r>
      <w:r w:rsidR="00CB2A12" w:rsidRPr="004F0E5E">
        <w:rPr>
          <w:rFonts w:cstheme="minorHAnsi"/>
        </w:rPr>
        <w:t>T</w:t>
      </w:r>
      <w:r w:rsidRPr="004F0E5E">
        <w:rPr>
          <w:rFonts w:cstheme="minorHAnsi"/>
        </w:rPr>
        <w:t xml:space="preserve">PME et préserver la diversité du tissu commercial, il est proposé un plafonnement de </w:t>
      </w:r>
      <w:r w:rsidR="004F0E5E">
        <w:rPr>
          <w:rFonts w:cstheme="minorHAnsi"/>
        </w:rPr>
        <w:t>l’ICC</w:t>
      </w:r>
      <w:r w:rsidRPr="004F0E5E">
        <w:rPr>
          <w:rFonts w:cstheme="minorHAnsi"/>
        </w:rPr>
        <w:t>.</w:t>
      </w:r>
      <w:bookmarkEnd w:id="0"/>
    </w:p>
    <w:p w14:paraId="7E124E7B" w14:textId="1F59C051" w:rsidR="004C65E5" w:rsidRDefault="004C65E5" w:rsidP="00956A3B">
      <w:pPr>
        <w:jc w:val="both"/>
        <w:rPr>
          <w:rFonts w:cstheme="minorHAnsi"/>
        </w:rPr>
      </w:pPr>
    </w:p>
    <w:p w14:paraId="5133B22D" w14:textId="47473E84" w:rsidR="004C65E5" w:rsidRDefault="004C65E5" w:rsidP="00956A3B">
      <w:pPr>
        <w:jc w:val="both"/>
        <w:rPr>
          <w:rFonts w:cstheme="minorHAnsi"/>
        </w:rPr>
      </w:pPr>
    </w:p>
    <w:p w14:paraId="13362373" w14:textId="279882F9" w:rsidR="004C65E5" w:rsidRDefault="004C65E5">
      <w:pPr>
        <w:rPr>
          <w:rFonts w:cstheme="minorHAnsi"/>
        </w:rPr>
      </w:pPr>
      <w:r>
        <w:rPr>
          <w:rFonts w:cstheme="minorHAnsi"/>
        </w:rPr>
        <w:br w:type="page"/>
      </w:r>
    </w:p>
    <w:p w14:paraId="1B008C63" w14:textId="77777777" w:rsidR="004C65E5" w:rsidRPr="00DD7F16" w:rsidRDefault="004C65E5" w:rsidP="004C65E5">
      <w:pPr>
        <w:tabs>
          <w:tab w:val="left" w:pos="8672"/>
        </w:tabs>
        <w:spacing w:before="71"/>
        <w:ind w:right="74"/>
        <w:jc w:val="center"/>
        <w:rPr>
          <w:rFonts w:cstheme="minorHAnsi"/>
          <w:b/>
        </w:rPr>
      </w:pPr>
      <w:r w:rsidRPr="00DD7F16">
        <w:rPr>
          <w:rFonts w:cstheme="minorHAnsi"/>
        </w:rPr>
        <w:lastRenderedPageBreak/>
        <w:t>ARTICLE XX</w:t>
      </w:r>
      <w:r w:rsidRPr="00DD7F16">
        <w:rPr>
          <w:rFonts w:cstheme="minorHAnsi"/>
        </w:rPr>
        <w:tab/>
      </w:r>
      <w:r w:rsidRPr="00DD7F16">
        <w:rPr>
          <w:rFonts w:cstheme="minorHAnsi"/>
          <w:b/>
        </w:rPr>
        <w:t xml:space="preserve">N° </w:t>
      </w:r>
    </w:p>
    <w:p w14:paraId="7F167B2B" w14:textId="77777777" w:rsidR="004C65E5" w:rsidRPr="00DD7F16" w:rsidRDefault="004C65E5" w:rsidP="004C65E5">
      <w:pPr>
        <w:pStyle w:val="Titre"/>
        <w:rPr>
          <w:rFonts w:asciiTheme="minorHAnsi" w:hAnsiTheme="minorHAnsi" w:cstheme="minorHAnsi"/>
          <w:sz w:val="22"/>
          <w:szCs w:val="22"/>
        </w:rPr>
      </w:pPr>
      <w:r w:rsidRPr="00DD7F16">
        <w:rPr>
          <w:rFonts w:asciiTheme="minorHAnsi" w:hAnsiTheme="minorHAnsi" w:cstheme="minorHAnsi"/>
          <w:sz w:val="22"/>
          <w:szCs w:val="22"/>
        </w:rPr>
        <w:t>ASSEMBLÉE NATIONALE</w:t>
      </w:r>
    </w:p>
    <w:p w14:paraId="1C800C38" w14:textId="77777777" w:rsidR="004C65E5" w:rsidRPr="00DD7F16" w:rsidRDefault="004C65E5" w:rsidP="004C65E5">
      <w:pPr>
        <w:pStyle w:val="Corpsdetexte"/>
        <w:ind w:left="665" w:right="665"/>
        <w:jc w:val="center"/>
        <w:rPr>
          <w:rFonts w:asciiTheme="minorHAnsi" w:hAnsiTheme="minorHAnsi" w:cstheme="minorHAnsi"/>
          <w:sz w:val="22"/>
          <w:szCs w:val="22"/>
        </w:rPr>
      </w:pPr>
    </w:p>
    <w:p w14:paraId="776193E3" w14:textId="77777777" w:rsidR="004C65E5" w:rsidRPr="00DD7F16" w:rsidRDefault="004C65E5" w:rsidP="004C65E5">
      <w:pPr>
        <w:pStyle w:val="Corpsdetexte"/>
        <w:spacing w:before="11"/>
        <w:rPr>
          <w:rFonts w:asciiTheme="minorHAnsi" w:hAnsiTheme="minorHAnsi" w:cstheme="minorHAnsi"/>
          <w:sz w:val="22"/>
          <w:szCs w:val="22"/>
        </w:rPr>
      </w:pPr>
      <w:r w:rsidRPr="00DD7F16">
        <w:rPr>
          <w:noProof/>
        </w:rPr>
        <mc:AlternateContent>
          <mc:Choice Requires="wps">
            <w:drawing>
              <wp:anchor distT="0" distB="0" distL="0" distR="0" simplePos="0" relativeHeight="251662336" behindDoc="1" locked="0" layoutInCell="1" allowOverlap="1" wp14:anchorId="0309E6A3" wp14:editId="2DE19BCF">
                <wp:simplePos x="0" y="0"/>
                <wp:positionH relativeFrom="page">
                  <wp:posOffset>720090</wp:posOffset>
                </wp:positionH>
                <wp:positionV relativeFrom="paragraph">
                  <wp:posOffset>156210</wp:posOffset>
                </wp:positionV>
                <wp:extent cx="6120130" cy="19050"/>
                <wp:effectExtent l="0" t="0" r="0" b="0"/>
                <wp:wrapTopAndBottom/>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1905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B555EE" id="Rectangle 2" o:spid="_x0000_s1026" style="position:absolute;margin-left:56.7pt;margin-top:12.3pt;width:481.9pt;height:1.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" fillcolor="gray" stroked="f">
                <w10:wrap type="topAndBottom" anchorx="page"/>
              </v:rect>
            </w:pict>
          </mc:Fallback>
        </mc:AlternateContent>
      </w:r>
    </w:p>
    <w:p w14:paraId="7573599B" w14:textId="77777777" w:rsidR="004C65E5" w:rsidRPr="00DD7F16" w:rsidRDefault="004C65E5" w:rsidP="004C65E5">
      <w:pPr>
        <w:pStyle w:val="Corpsdetexte"/>
        <w:spacing w:before="8"/>
        <w:rPr>
          <w:rFonts w:asciiTheme="minorHAnsi" w:hAnsiTheme="minorHAnsi" w:cstheme="minorHAnsi"/>
          <w:sz w:val="22"/>
          <w:szCs w:val="22"/>
        </w:rPr>
      </w:pPr>
    </w:p>
    <w:p w14:paraId="6541901C" w14:textId="77777777" w:rsidR="004C65E5" w:rsidRPr="00DD7F16" w:rsidRDefault="004C65E5" w:rsidP="004C65E5">
      <w:pPr>
        <w:pStyle w:val="Corpsdetexte"/>
        <w:spacing w:before="6"/>
        <w:jc w:val="center"/>
        <w:rPr>
          <w:rFonts w:asciiTheme="minorHAnsi" w:hAnsiTheme="minorHAnsi" w:cstheme="minorHAnsi"/>
          <w:sz w:val="22"/>
          <w:szCs w:val="22"/>
        </w:rPr>
      </w:pPr>
      <w:r w:rsidRPr="00DD7F16">
        <w:rPr>
          <w:rFonts w:asciiTheme="minorHAnsi" w:hAnsiTheme="minorHAnsi" w:cstheme="minorHAnsi"/>
          <w:sz w:val="22"/>
          <w:szCs w:val="22"/>
        </w:rPr>
        <w:t>Projet de loi de finances pour 2023</w:t>
      </w:r>
    </w:p>
    <w:p w14:paraId="1F42654E" w14:textId="77777777" w:rsidR="004C65E5" w:rsidRPr="00DD7F16" w:rsidRDefault="004C65E5" w:rsidP="004C65E5">
      <w:pPr>
        <w:pStyle w:val="Corpsdetexte"/>
        <w:spacing w:before="6"/>
        <w:jc w:val="center"/>
        <w:rPr>
          <w:rFonts w:asciiTheme="minorHAnsi" w:hAnsiTheme="minorHAnsi" w:cstheme="minorHAnsi"/>
          <w:sz w:val="22"/>
          <w:szCs w:val="22"/>
        </w:rPr>
      </w:pPr>
    </w:p>
    <w:p w14:paraId="513520B9" w14:textId="77777777" w:rsidR="004C65E5" w:rsidRPr="00DD7F16" w:rsidRDefault="004C65E5" w:rsidP="004C65E5">
      <w:pPr>
        <w:pStyle w:val="Corpsdetexte"/>
        <w:spacing w:before="6"/>
        <w:jc w:val="center"/>
        <w:rPr>
          <w:rFonts w:asciiTheme="minorHAnsi" w:hAnsiTheme="minorHAnsi" w:cstheme="minorHAnsi"/>
          <w:b/>
          <w:sz w:val="22"/>
          <w:szCs w:val="22"/>
        </w:rPr>
      </w:pPr>
      <w:r w:rsidRPr="00DD7F16">
        <w:rPr>
          <w:rFonts w:asciiTheme="minorHAnsi" w:hAnsiTheme="minorHAnsi" w:cstheme="minorHAnsi"/>
          <w:b/>
          <w:sz w:val="22"/>
          <w:szCs w:val="22"/>
        </w:rPr>
        <w:t>AMENDEMENT N o</w:t>
      </w:r>
      <w:r w:rsidRPr="00DD7F16">
        <w:rPr>
          <w:rFonts w:asciiTheme="minorHAnsi" w:hAnsiTheme="minorHAnsi" w:cstheme="minorHAnsi"/>
          <w:b/>
          <w:sz w:val="22"/>
          <w:szCs w:val="22"/>
        </w:rPr>
        <w:tab/>
      </w:r>
    </w:p>
    <w:p w14:paraId="7E354CAB" w14:textId="77777777" w:rsidR="004C65E5" w:rsidRPr="00DD7F16" w:rsidRDefault="004C65E5" w:rsidP="004C65E5">
      <w:pPr>
        <w:pStyle w:val="Corpsdetexte"/>
        <w:spacing w:before="6"/>
        <w:jc w:val="center"/>
        <w:rPr>
          <w:rFonts w:asciiTheme="minorHAnsi" w:hAnsiTheme="minorHAnsi" w:cstheme="minorHAnsi"/>
          <w:b/>
          <w:sz w:val="22"/>
          <w:szCs w:val="22"/>
        </w:rPr>
      </w:pPr>
    </w:p>
    <w:p w14:paraId="5DCB38CD" w14:textId="77777777" w:rsidR="004C65E5" w:rsidRPr="00DD7F16" w:rsidRDefault="004C65E5" w:rsidP="004C65E5">
      <w:pPr>
        <w:pStyle w:val="Corpsdetexte"/>
        <w:spacing w:before="90"/>
        <w:ind w:left="665" w:right="665"/>
        <w:jc w:val="center"/>
        <w:rPr>
          <w:rFonts w:asciiTheme="minorHAnsi" w:hAnsiTheme="minorHAnsi" w:cstheme="minorHAnsi"/>
          <w:sz w:val="22"/>
          <w:szCs w:val="22"/>
        </w:rPr>
      </w:pPr>
      <w:proofErr w:type="gramStart"/>
      <w:r w:rsidRPr="00DD7F16">
        <w:rPr>
          <w:rFonts w:asciiTheme="minorHAnsi" w:hAnsiTheme="minorHAnsi" w:cstheme="minorHAnsi"/>
          <w:sz w:val="22"/>
          <w:szCs w:val="22"/>
        </w:rPr>
        <w:t>présenté</w:t>
      </w:r>
      <w:proofErr w:type="gramEnd"/>
      <w:r w:rsidRPr="00DD7F16">
        <w:rPr>
          <w:rFonts w:asciiTheme="minorHAnsi" w:hAnsiTheme="minorHAnsi" w:cstheme="minorHAnsi"/>
          <w:sz w:val="22"/>
          <w:szCs w:val="22"/>
        </w:rPr>
        <w:t xml:space="preserve"> par</w:t>
      </w:r>
    </w:p>
    <w:p w14:paraId="584EF3E7" w14:textId="77777777" w:rsidR="004C65E5" w:rsidRPr="00DD7F16" w:rsidRDefault="004C65E5" w:rsidP="004C65E5">
      <w:pPr>
        <w:pStyle w:val="Corpsdetexte"/>
        <w:ind w:left="3740"/>
        <w:jc w:val="both"/>
        <w:rPr>
          <w:rFonts w:asciiTheme="minorHAnsi" w:hAnsiTheme="minorHAnsi" w:cstheme="minorHAnsi"/>
          <w:sz w:val="22"/>
          <w:szCs w:val="22"/>
        </w:rPr>
      </w:pPr>
    </w:p>
    <w:p w14:paraId="3CDE691E" w14:textId="619A1FA6" w:rsidR="004C65E5" w:rsidRPr="004C65E5" w:rsidRDefault="004C65E5" w:rsidP="004C65E5">
      <w:pPr>
        <w:pStyle w:val="Corpsdetexte"/>
        <w:spacing w:before="10"/>
        <w:rPr>
          <w:rFonts w:asciiTheme="minorHAnsi" w:hAnsiTheme="minorHAnsi" w:cstheme="minorHAnsi"/>
          <w:sz w:val="22"/>
          <w:szCs w:val="22"/>
        </w:rPr>
      </w:pPr>
      <w:r w:rsidRPr="00DD7F16">
        <w:rPr>
          <w:noProof/>
        </w:rPr>
        <mc:AlternateContent>
          <mc:Choice Requires="wps">
            <w:drawing>
              <wp:anchor distT="0" distB="0" distL="0" distR="0" simplePos="0" relativeHeight="251663360" behindDoc="1" locked="0" layoutInCell="1" allowOverlap="1" wp14:anchorId="43232E91" wp14:editId="37BE3D67">
                <wp:simplePos x="0" y="0"/>
                <wp:positionH relativeFrom="page">
                  <wp:posOffset>3526155</wp:posOffset>
                </wp:positionH>
                <wp:positionV relativeFrom="paragraph">
                  <wp:posOffset>117475</wp:posOffset>
                </wp:positionV>
                <wp:extent cx="508000" cy="1270"/>
                <wp:effectExtent l="0" t="0" r="0" b="0"/>
                <wp:wrapTopAndBottom/>
                <wp:docPr id="3" name="Forme libre : form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0" cy="1270"/>
                        </a:xfrm>
                        <a:custGeom>
                          <a:avLst/>
                          <a:gdLst>
                            <a:gd name="T0" fmla="+- 0 5553 5553"/>
                            <a:gd name="T1" fmla="*/ T0 w 800"/>
                            <a:gd name="T2" fmla="+- 0 6353 5553"/>
                            <a:gd name="T3" fmla="*/ T2 w 800"/>
                          </a:gdLst>
                          <a:ahLst/>
                          <a:cxnLst>
                            <a:cxn ang="0">
                              <a:pos x="T1" y="0"/>
                            </a:cxn>
                            <a:cxn ang="0">
                              <a:pos x="T3" y="0"/>
                            </a:cxn>
                          </a:cxnLst>
                          <a:rect l="0" t="0" r="r" b="b"/>
                          <a:pathLst>
                            <a:path w="800">
                              <a:moveTo>
                                <a:pt x="0" y="0"/>
                              </a:moveTo>
                              <a:lnTo>
                                <a:pt x="800" y="0"/>
                              </a:lnTo>
                            </a:path>
                          </a:pathLst>
                        </a:custGeom>
                        <a:noFill/>
                        <a:ln w="11278">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D85D24" id="Forme libre : forme 7" o:spid="_x0000_s1026" style="position:absolute;margin-left:277.65pt;margin-top:9.25pt;width:40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" path="m,l800,e" filled="f" strokeweight=".31328mm">
                <v:stroke dashstyle="dash"/>
                <v:path arrowok="t" o:connecttype="custom" o:connectlocs="0,0;508000,0" o:connectangles="0,0"/>
                <w10:wrap type="topAndBottom" anchorx="page"/>
              </v:shape>
            </w:pict>
          </mc:Fallback>
        </mc:AlternateContent>
      </w:r>
    </w:p>
    <w:p w14:paraId="3B73793E" w14:textId="77777777" w:rsidR="004C65E5" w:rsidRPr="00DD7F16" w:rsidRDefault="004C65E5" w:rsidP="004C65E5">
      <w:pPr>
        <w:pStyle w:val="Corpsdetexte"/>
        <w:spacing w:before="3"/>
        <w:rPr>
          <w:rFonts w:asciiTheme="minorHAnsi" w:hAnsiTheme="minorHAnsi" w:cstheme="minorHAnsi"/>
          <w:b/>
          <w:bCs/>
          <w:sz w:val="22"/>
          <w:szCs w:val="22"/>
        </w:rPr>
      </w:pPr>
      <w:r w:rsidRPr="00DD7F16">
        <w:rPr>
          <w:rFonts w:asciiTheme="minorHAnsi" w:hAnsiTheme="minorHAnsi" w:cstheme="minorHAnsi"/>
          <w:b/>
          <w:bCs/>
          <w:sz w:val="22"/>
          <w:szCs w:val="22"/>
        </w:rPr>
        <w:t xml:space="preserve">APRÈS L'ARTICLE 10, </w:t>
      </w:r>
    </w:p>
    <w:p w14:paraId="57FF1517" w14:textId="77777777" w:rsidR="004C65E5" w:rsidRPr="00DD7F16" w:rsidRDefault="004C65E5" w:rsidP="004C65E5">
      <w:pPr>
        <w:pStyle w:val="Corpsdetexte"/>
        <w:spacing w:before="3"/>
        <w:rPr>
          <w:rFonts w:asciiTheme="minorHAnsi" w:hAnsiTheme="minorHAnsi" w:cstheme="minorHAnsi"/>
          <w:b/>
          <w:sz w:val="22"/>
          <w:szCs w:val="22"/>
        </w:rPr>
      </w:pPr>
    </w:p>
    <w:p w14:paraId="6FD8FDD3" w14:textId="77777777" w:rsidR="004C65E5" w:rsidRPr="00DD7F16" w:rsidRDefault="004C65E5" w:rsidP="004C65E5">
      <w:pPr>
        <w:jc w:val="both"/>
      </w:pPr>
      <w:r w:rsidRPr="00DD7F16">
        <w:t>Insérer un article additionnel ainsi rédigé :</w:t>
      </w:r>
    </w:p>
    <w:p w14:paraId="728E8C1F" w14:textId="77777777" w:rsidR="004C65E5" w:rsidRPr="00DD7F16" w:rsidRDefault="004C65E5" w:rsidP="004C65E5">
      <w:pPr>
        <w:jc w:val="both"/>
      </w:pPr>
      <w:r w:rsidRPr="00DD7F16">
        <w:t xml:space="preserve">La variation annuelle de l’indice trimestriel des loyers des activités tertiaires mentionné au deuxième alinéa de </w:t>
      </w:r>
      <w:hyperlink r:id="rId5" w:history="1">
        <w:r w:rsidRPr="00DD7F16">
          <w:rPr>
            <w:rStyle w:val="Lienhypertexte"/>
            <w:color w:val="auto"/>
          </w:rPr>
          <w:t>l’article L. 112-2 du code monétaire et financier</w:t>
        </w:r>
      </w:hyperlink>
      <w:r w:rsidRPr="00DD7F16">
        <w:t xml:space="preserve"> prise en compte pour la révision du loyer applicable aux petites et moyennes entreprises ne peut excéder 3,5 % pour </w:t>
      </w:r>
      <w:r>
        <w:t>l’année 2023, soit du premier au quatrième 2023 inclus.</w:t>
      </w:r>
    </w:p>
    <w:p w14:paraId="61A286DB" w14:textId="77777777" w:rsidR="004C65E5" w:rsidRPr="00DD7F16" w:rsidRDefault="004C65E5" w:rsidP="004C65E5">
      <w:pPr>
        <w:jc w:val="both"/>
      </w:pPr>
      <w:r w:rsidRPr="00DD7F16">
        <w:t>Les petites et moyennes entreprises mentionnées au premier alinéa répondent à la définition de l’annexe I au règlement (UE) n° 651/2014 de la Commission du 17 juin 2014 déclarant certaines catégories d’aide compatibles avec le marché intérieur en application des articles 107 et 108 du traité.</w:t>
      </w:r>
    </w:p>
    <w:p w14:paraId="331C7AAB" w14:textId="77777777" w:rsidR="004C65E5" w:rsidRPr="00DD7F16" w:rsidRDefault="004C65E5" w:rsidP="004C65E5">
      <w:pPr>
        <w:jc w:val="both"/>
      </w:pPr>
      <w:r w:rsidRPr="00DD7F16">
        <w:t>Le plafonnement de la variation annuelle est définitivement acquis et la majoration ou la diminution de loyer consécutive à une révision postérieure ne peut prendre en compte la part de variation de l’indice des loyers commerciaux supérieure à 3,5 % sur cette même période.</w:t>
      </w:r>
    </w:p>
    <w:p w14:paraId="669AB64E" w14:textId="77777777" w:rsidR="004C65E5" w:rsidRPr="00DD7F16" w:rsidRDefault="004C65E5" w:rsidP="004C65E5">
      <w:pPr>
        <w:jc w:val="both"/>
      </w:pPr>
    </w:p>
    <w:p w14:paraId="5850B36A" w14:textId="77777777" w:rsidR="004C65E5" w:rsidRPr="00DD7F16" w:rsidRDefault="004C65E5" w:rsidP="004C65E5">
      <w:pPr>
        <w:jc w:val="both"/>
      </w:pPr>
    </w:p>
    <w:p w14:paraId="2AFFC49F" w14:textId="77777777" w:rsidR="004C65E5" w:rsidRPr="00DD7F16" w:rsidRDefault="004C65E5" w:rsidP="004C65E5">
      <w:pPr>
        <w:jc w:val="center"/>
      </w:pPr>
      <w:r w:rsidRPr="00DD7F16">
        <w:t>Exposé des motifs</w:t>
      </w:r>
    </w:p>
    <w:p w14:paraId="3126DCCE" w14:textId="77777777" w:rsidR="004C65E5" w:rsidRPr="00DD7F16" w:rsidRDefault="004C65E5" w:rsidP="004C65E5">
      <w:pPr>
        <w:jc w:val="both"/>
      </w:pPr>
      <w:r w:rsidRPr="00DD7F16">
        <w:t>Pour compléter le dispositif mis en place par le Gouvernement dans le cadre de la loi portant mesures d’urgence pour la protection du pouvoir d’achat, il convient de plafonner d’autres indicateurs largement utilisés comme indices de référence de révision des loyers afin de venir en aide aux TPME. Cet amendement a pour objectif de plafonner à 3,5 % la variation annuelle de l’indice trimestriel des loyers des activités tertiaires pour les TPME, à l’instar du dispositif prévu pour les locaux d’habitation des particuliers.</w:t>
      </w:r>
    </w:p>
    <w:p w14:paraId="3AF1AAE5" w14:textId="77777777" w:rsidR="004C65E5" w:rsidRPr="00DD7F16" w:rsidRDefault="004C65E5" w:rsidP="004C65E5">
      <w:pPr>
        <w:jc w:val="both"/>
      </w:pPr>
      <w:r w:rsidRPr="00DD7F16">
        <w:t xml:space="preserve">L’ILAT sert à plafonner les révisions de loyers commerciaux ou à mettre en œuvre une indexation annuelle automatique des loyers </w:t>
      </w:r>
      <w:r>
        <w:t xml:space="preserve">de bureaux </w:t>
      </w:r>
      <w:r w:rsidRPr="00DD7F16">
        <w:t xml:space="preserve">et des locaux de professions libérales. </w:t>
      </w:r>
    </w:p>
    <w:p w14:paraId="123BAC9B" w14:textId="18467242" w:rsidR="004C65E5" w:rsidRPr="004C65E5" w:rsidRDefault="004C65E5" w:rsidP="00956A3B">
      <w:pPr>
        <w:jc w:val="both"/>
      </w:pPr>
      <w:r w:rsidRPr="00DD7F16">
        <w:t>Le contexte inflationniste pourrait conduire à des niveaux de variations annuelles de l’inflation nettement plus élevés que 3,5 %. Afin de protéger les TPME et préserver la diversité du tissu commercial, il est proposé un plafonnement de l’ILAT.</w:t>
      </w:r>
    </w:p>
    <w:sectPr w:rsidR="004C65E5" w:rsidRPr="004C65E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300"/>
    <w:rsid w:val="001409D0"/>
    <w:rsid w:val="004C65E5"/>
    <w:rsid w:val="004F0E5E"/>
    <w:rsid w:val="00760C70"/>
    <w:rsid w:val="00857A0C"/>
    <w:rsid w:val="00956A3B"/>
    <w:rsid w:val="00BD1058"/>
    <w:rsid w:val="00BD68A0"/>
    <w:rsid w:val="00BF261A"/>
    <w:rsid w:val="00CA4ED7"/>
    <w:rsid w:val="00CB2A12"/>
    <w:rsid w:val="00D35A69"/>
    <w:rsid w:val="00E05300"/>
    <w:rsid w:val="00F8648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1051E"/>
  <w15:chartTrackingRefBased/>
  <w15:docId w15:val="{4AB5CB27-1637-4A2F-84E3-B44DF1356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E0530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956A3B"/>
    <w:rPr>
      <w:color w:val="0563C1" w:themeColor="hyperlink"/>
      <w:u w:val="single"/>
    </w:rPr>
  </w:style>
  <w:style w:type="character" w:styleId="Mentionnonrsolue">
    <w:name w:val="Unresolved Mention"/>
    <w:basedOn w:val="Policepardfaut"/>
    <w:uiPriority w:val="99"/>
    <w:semiHidden/>
    <w:unhideWhenUsed/>
    <w:rsid w:val="00956A3B"/>
    <w:rPr>
      <w:color w:val="605E5C"/>
      <w:shd w:val="clear" w:color="auto" w:fill="E1DFDD"/>
    </w:rPr>
  </w:style>
  <w:style w:type="paragraph" w:styleId="Titre">
    <w:name w:val="Title"/>
    <w:basedOn w:val="Normal"/>
    <w:link w:val="TitreCar"/>
    <w:uiPriority w:val="10"/>
    <w:qFormat/>
    <w:rsid w:val="00956A3B"/>
    <w:pPr>
      <w:widowControl w:val="0"/>
      <w:autoSpaceDE w:val="0"/>
      <w:autoSpaceDN w:val="0"/>
      <w:spacing w:before="15" w:after="0" w:line="240" w:lineRule="auto"/>
      <w:ind w:left="665" w:right="665"/>
      <w:jc w:val="center"/>
    </w:pPr>
    <w:rPr>
      <w:rFonts w:ascii="Times New Roman" w:eastAsia="Times New Roman" w:hAnsi="Times New Roman" w:cs="Times New Roman"/>
      <w:b/>
      <w:bCs/>
      <w:sz w:val="36"/>
      <w:szCs w:val="36"/>
    </w:rPr>
  </w:style>
  <w:style w:type="character" w:customStyle="1" w:styleId="TitreCar">
    <w:name w:val="Titre Car"/>
    <w:basedOn w:val="Policepardfaut"/>
    <w:link w:val="Titre"/>
    <w:uiPriority w:val="10"/>
    <w:rsid w:val="00956A3B"/>
    <w:rPr>
      <w:rFonts w:ascii="Times New Roman" w:eastAsia="Times New Roman" w:hAnsi="Times New Roman" w:cs="Times New Roman"/>
      <w:b/>
      <w:bCs/>
      <w:sz w:val="36"/>
      <w:szCs w:val="36"/>
    </w:rPr>
  </w:style>
  <w:style w:type="paragraph" w:styleId="Corpsdetexte">
    <w:name w:val="Body Text"/>
    <w:basedOn w:val="Normal"/>
    <w:link w:val="CorpsdetexteCar"/>
    <w:uiPriority w:val="1"/>
    <w:unhideWhenUsed/>
    <w:qFormat/>
    <w:rsid w:val="00956A3B"/>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CorpsdetexteCar">
    <w:name w:val="Corps de texte Car"/>
    <w:basedOn w:val="Policepardfaut"/>
    <w:link w:val="Corpsdetexte"/>
    <w:uiPriority w:val="1"/>
    <w:rsid w:val="00956A3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426881">
      <w:bodyDiv w:val="1"/>
      <w:marLeft w:val="0"/>
      <w:marRight w:val="0"/>
      <w:marTop w:val="0"/>
      <w:marBottom w:val="0"/>
      <w:divBdr>
        <w:top w:val="none" w:sz="0" w:space="0" w:color="auto"/>
        <w:left w:val="none" w:sz="0" w:space="0" w:color="auto"/>
        <w:bottom w:val="none" w:sz="0" w:space="0" w:color="auto"/>
        <w:right w:val="none" w:sz="0" w:space="0" w:color="auto"/>
      </w:divBdr>
    </w:div>
    <w:div w:id="898789883">
      <w:bodyDiv w:val="1"/>
      <w:marLeft w:val="0"/>
      <w:marRight w:val="0"/>
      <w:marTop w:val="0"/>
      <w:marBottom w:val="0"/>
      <w:divBdr>
        <w:top w:val="none" w:sz="0" w:space="0" w:color="auto"/>
        <w:left w:val="none" w:sz="0" w:space="0" w:color="auto"/>
        <w:bottom w:val="none" w:sz="0" w:space="0" w:color="auto"/>
        <w:right w:val="none" w:sz="0" w:space="0" w:color="auto"/>
      </w:divBdr>
    </w:div>
    <w:div w:id="1016997839">
      <w:bodyDiv w:val="1"/>
      <w:marLeft w:val="0"/>
      <w:marRight w:val="0"/>
      <w:marTop w:val="0"/>
      <w:marBottom w:val="0"/>
      <w:divBdr>
        <w:top w:val="none" w:sz="0" w:space="0" w:color="auto"/>
        <w:left w:val="none" w:sz="0" w:space="0" w:color="auto"/>
        <w:bottom w:val="none" w:sz="0" w:space="0" w:color="auto"/>
        <w:right w:val="none" w:sz="0" w:space="0" w:color="auto"/>
      </w:divBdr>
    </w:div>
    <w:div w:id="106872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egifrance.gouv.fr/codes/article_lc/LEGIARTI000024039949/" TargetMode="External"/><Relationship Id="rId4" Type="http://schemas.openxmlformats.org/officeDocument/2006/relationships/hyperlink" Target="https://www.legifrance.gouv.fr/codes/article_lc/LEGIARTI000024039949/"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677</Words>
  <Characters>3726</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laurene ferran</dc:creator>
  <cp:keywords/>
  <dc:description/>
  <cp:lastModifiedBy>Jean-Guilhem DARRE</cp:lastModifiedBy>
  <cp:revision>2</cp:revision>
  <dcterms:created xsi:type="dcterms:W3CDTF">2022-10-06T14:02:00Z</dcterms:created>
  <dcterms:modified xsi:type="dcterms:W3CDTF">2022-10-06T14:02:00Z</dcterms:modified>
</cp:coreProperties>
</file>